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sz w:val="20"/>
          <w:szCs w:val="20"/>
        </w:rPr>
      </w:pPr>
      <w:bookmarkStart w:colFirst="0" w:colLast="0" w:name="_heading=h.gjdgxs" w:id="0"/>
      <w:bookmarkEnd w:id="0"/>
      <w:r w:rsidDel="00000000" w:rsidR="00000000" w:rsidRPr="00000000">
        <w:rPr>
          <w:rFonts w:ascii="Arial" w:cs="Arial" w:eastAsia="Arial" w:hAnsi="Arial"/>
          <w:b w:val="1"/>
          <w:sz w:val="36"/>
          <w:szCs w:val="36"/>
          <w:rtl w:val="0"/>
        </w:rPr>
        <w:t xml:space="preserve">Joint Schedule 6 (Key Subcontractors)</w:t>
      </w:r>
      <w:r w:rsidDel="00000000" w:rsidR="00000000" w:rsidRPr="00000000">
        <w:rPr>
          <w:rtl w:val="0"/>
        </w:rPr>
      </w:r>
    </w:p>
    <w:p w:rsidR="00000000" w:rsidDel="00000000" w:rsidP="00000000" w:rsidRDefault="00000000" w:rsidRPr="00000000" w14:paraId="00000002">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Restrictions on certain subcontractors</w:t>
      </w:r>
    </w:p>
    <w:p w:rsidR="00000000" w:rsidDel="00000000" w:rsidP="00000000" w:rsidRDefault="00000000" w:rsidRPr="00000000" w14:paraId="00000003">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is entitled to sub-contract its obligations under the Framework Contract to the Key Subcontractors set out in the Framework Award Form. </w:t>
      </w:r>
      <w:r w:rsidDel="00000000" w:rsidR="00000000" w:rsidRPr="00000000">
        <w:rPr>
          <w:rtl w:val="0"/>
        </w:rPr>
      </w:r>
    </w:p>
    <w:p w:rsidR="00000000" w:rsidDel="00000000" w:rsidP="00000000" w:rsidRDefault="00000000" w:rsidRPr="00000000" w14:paraId="00000004">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is entitled to sub-contract its obligations under a Call-Off Contract to Key Subcontractors listed in the Framework Award Form who are specifically nominated in the Order Form.</w:t>
      </w:r>
      <w:r w:rsidDel="00000000" w:rsidR="00000000" w:rsidRPr="00000000">
        <w:rPr>
          <w:rtl w:val="0"/>
        </w:rPr>
      </w:r>
    </w:p>
    <w:p w:rsidR="00000000" w:rsidDel="00000000" w:rsidP="00000000" w:rsidRDefault="00000000" w:rsidRPr="00000000" w14:paraId="00000005">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during the Contract Period the Supplier wishes to enter into a new Key Sub-contract or replace a Key Subcontractor, it must obtain the prior written consent of CCS and the Buyer and the Supplier shall, at the time of requesting such consent, provide CCS and the Buyer with the information detailed in Paragraph 1.4.  The decision of CCS and the Buyer to consent or not will not be unreasonably withheld or delayed.  Where CCS consents to the appointment of a new Key Subcontractor then they will be added to section 18 of the Framework Award Form.  Where the Buyer consents to the appointment of a new Key Subcontractor then they will be added to Key Subcontractor section of the Order Form.  CCS and the Buyer may reasonably withhold their consent to the appointment of a Key Subcontractor if it considers that:</w:t>
      </w:r>
      <w:r w:rsidDel="00000000" w:rsidR="00000000" w:rsidRPr="00000000">
        <w:rPr>
          <w:rtl w:val="0"/>
        </w:rPr>
      </w:r>
    </w:p>
    <w:p w:rsidR="00000000" w:rsidDel="00000000" w:rsidP="00000000" w:rsidRDefault="00000000" w:rsidRPr="00000000" w14:paraId="00000006">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50"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appointment of a proposed Key Subcontractor may prejudice the provision of the Deliverables or may be contrary to its interests;</w:t>
      </w:r>
    </w:p>
    <w:p w:rsidR="00000000" w:rsidDel="00000000" w:rsidP="00000000" w:rsidRDefault="00000000" w:rsidRPr="00000000" w14:paraId="00000007">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50"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proposed Key Subcontractor is unreliable and/or has not provided reliable goods and or reasonable services to its other customers; and/or</w:t>
      </w:r>
    </w:p>
    <w:p w:rsidR="00000000" w:rsidDel="00000000" w:rsidP="00000000" w:rsidRDefault="00000000" w:rsidRPr="00000000" w14:paraId="00000008">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50"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proposed Key Subcontractor employs unfit persons.</w:t>
      </w:r>
    </w:p>
    <w:p w:rsidR="00000000" w:rsidDel="00000000" w:rsidP="00000000" w:rsidRDefault="00000000" w:rsidRPr="00000000" w14:paraId="00000009">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CCS and the Buyer with the following information in respect of the proposed Key Subcontractor:</w:t>
      </w:r>
      <w:r w:rsidDel="00000000" w:rsidR="00000000" w:rsidRPr="00000000">
        <w:rPr>
          <w:rtl w:val="0"/>
        </w:rPr>
      </w:r>
    </w:p>
    <w:p w:rsidR="00000000" w:rsidDel="00000000" w:rsidP="00000000" w:rsidRDefault="00000000" w:rsidRPr="00000000" w14:paraId="0000000A">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proposed Key Subcontractor’s name, registered office and company registration number;</w:t>
      </w:r>
    </w:p>
    <w:p w:rsidR="00000000" w:rsidDel="00000000" w:rsidP="00000000" w:rsidRDefault="00000000" w:rsidRPr="00000000" w14:paraId="0000000B">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scope/description of any Deliverables to be provided by the proposed Key Subcontractor; </w:t>
      </w:r>
    </w:p>
    <w:p w:rsidR="00000000" w:rsidDel="00000000" w:rsidP="00000000" w:rsidRDefault="00000000" w:rsidRPr="00000000" w14:paraId="0000000C">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proposed Key Subcontractor is an Affiliate of the Supplier, evidence that demonstrates to the reasonable satisfaction of the CCS and the Buyer that the proposed Key Sub-Contract has been agreed on "arm’s-length" terms;</w:t>
      </w:r>
    </w:p>
    <w:p w:rsidR="00000000" w:rsidDel="00000000" w:rsidP="00000000" w:rsidRDefault="00000000" w:rsidRPr="00000000" w14:paraId="0000000D">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CCS, the Key Sub-Contract price expressed as a percentage of the total projected Framework Price over the Framework Contract Period; </w:t>
      </w:r>
    </w:p>
    <w:p w:rsidR="00000000" w:rsidDel="00000000" w:rsidP="00000000" w:rsidRDefault="00000000" w:rsidRPr="00000000" w14:paraId="0000000E">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Buyer, the Key Sub-Contract price expressed as a percentage of the total projected Charges over the Call Off Contract Period; and</w:t>
      </w:r>
    </w:p>
    <w:p w:rsidR="00000000" w:rsidDel="00000000" w:rsidP="00000000" w:rsidRDefault="00000000" w:rsidRPr="00000000" w14:paraId="0000000F">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applicable) Credit Rating Threshold (as defined in Joint Schedule 7 (Financial Distress)) of the Key Subcontractor.</w:t>
      </w:r>
    </w:p>
    <w:p w:rsidR="00000000" w:rsidDel="00000000" w:rsidP="00000000" w:rsidRDefault="00000000" w:rsidRPr="00000000" w14:paraId="00000010">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requested by CCS and/or the Buyer, within ten (10) Working Days of receipt of the information provided by the Supplier pursuant to Paragraph 1.4, the Supplier shall also provide:</w:t>
      </w:r>
      <w:r w:rsidDel="00000000" w:rsidR="00000000" w:rsidRPr="00000000">
        <w:rPr>
          <w:rtl w:val="0"/>
        </w:rPr>
      </w:r>
    </w:p>
    <w:p w:rsidR="00000000" w:rsidDel="00000000" w:rsidP="00000000" w:rsidRDefault="00000000" w:rsidRPr="00000000" w14:paraId="00000011">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copy of the proposed Key Sub-Contract; and </w:t>
      </w:r>
    </w:p>
    <w:p w:rsidR="00000000" w:rsidDel="00000000" w:rsidP="00000000" w:rsidRDefault="00000000" w:rsidRPr="00000000" w14:paraId="00000012">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further information reasonably requested by CCS and/or the Buyer.</w:t>
      </w:r>
    </w:p>
    <w:p w:rsidR="00000000" w:rsidDel="00000000" w:rsidP="00000000" w:rsidRDefault="00000000" w:rsidRPr="00000000" w14:paraId="00000013">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each new or replacement Key Sub-Contract shall include: </w:t>
      </w:r>
      <w:r w:rsidDel="00000000" w:rsidR="00000000" w:rsidRPr="00000000">
        <w:rPr>
          <w:rtl w:val="0"/>
        </w:rPr>
      </w:r>
    </w:p>
    <w:p w:rsidR="00000000" w:rsidDel="00000000" w:rsidP="00000000" w:rsidRDefault="00000000" w:rsidRPr="00000000" w14:paraId="00000014">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provisions which will enable the Supplier to discharge its obligations under the Contracts;</w:t>
      </w:r>
    </w:p>
    <w:p w:rsidR="00000000" w:rsidDel="00000000" w:rsidP="00000000" w:rsidRDefault="00000000" w:rsidRPr="00000000" w14:paraId="00000015">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right under CRTPA for CCS and the Buyer to enforce any provisions under the Key Sub-Contract which confer a benefit upon CCS and the Buyer respectively;</w:t>
      </w:r>
    </w:p>
    <w:p w:rsidR="00000000" w:rsidDel="00000000" w:rsidP="00000000" w:rsidRDefault="00000000" w:rsidRPr="00000000" w14:paraId="00000016">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provision enabling CCS and the Buyer to enforce the Key Sub-Contract as if it were the Supplier; </w:t>
      </w:r>
    </w:p>
    <w:p w:rsidR="00000000" w:rsidDel="00000000" w:rsidP="00000000" w:rsidRDefault="00000000" w:rsidRPr="00000000" w14:paraId="00000017">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provision enabling the Supplier to assign, novate or otherwise transfer any of its rights and/or obligations under the Key Sub-Contract to CCS and/or the Buyer; </w:t>
      </w:r>
    </w:p>
    <w:p w:rsidR="00000000" w:rsidDel="00000000" w:rsidP="00000000" w:rsidRDefault="00000000" w:rsidRPr="00000000" w14:paraId="00000018">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obligations no less onerous on the Key Subcontractor than those imposed on the Supplier under the Framework Contract in respect of:</w:t>
      </w:r>
    </w:p>
    <w:p w:rsidR="00000000" w:rsidDel="00000000" w:rsidP="00000000" w:rsidRDefault="00000000" w:rsidRPr="00000000" w14:paraId="00000019">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63" w:right="0" w:hanging="853.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data protection requirements set out in Clause 14 (Data protection);</w:t>
      </w:r>
    </w:p>
    <w:p w:rsidR="00000000" w:rsidDel="00000000" w:rsidP="00000000" w:rsidRDefault="00000000" w:rsidRPr="00000000" w14:paraId="0000001A">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63" w:right="0" w:hanging="853.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FOIA and other access request requirements set out in Clause 16 (When you can share information);</w:t>
      </w:r>
    </w:p>
    <w:p w:rsidR="00000000" w:rsidDel="00000000" w:rsidP="00000000" w:rsidRDefault="00000000" w:rsidRPr="00000000" w14:paraId="0000001B">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63" w:right="0" w:hanging="853.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obligation not to embarrass CCS or the Buyer or otherwise bring CCS or the Buyer into disrepute; </w:t>
      </w:r>
    </w:p>
    <w:p w:rsidR="00000000" w:rsidDel="00000000" w:rsidP="00000000" w:rsidRDefault="00000000" w:rsidRPr="00000000" w14:paraId="0000001C">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63" w:right="0" w:hanging="853.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keeping of records in respect of the goods and/or services being provided under the Key Sub-Contract, including the maintenance of Open Book Data; and</w:t>
      </w:r>
    </w:p>
    <w:p w:rsidR="00000000" w:rsidDel="00000000" w:rsidP="00000000" w:rsidRDefault="00000000" w:rsidRPr="00000000" w14:paraId="0000001D">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63" w:right="0" w:hanging="853.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conduct of audits set out in Clause 6 (Record keeping and reporting);</w:t>
      </w:r>
    </w:p>
    <w:p w:rsidR="00000000" w:rsidDel="00000000" w:rsidP="00000000" w:rsidRDefault="00000000" w:rsidRPr="00000000" w14:paraId="0000001E">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provisions enabling the Supplier to terminate the Key Sub-Contract on notice on terms no more onerous on the Supplier than those imposed on CCS and the Buyer under Clauses 10.4 (When CCS or the Buyer can end this contract) and 10.5 (What happens if the contract ends) of this Contract; and</w:t>
      </w:r>
    </w:p>
    <w:p w:rsidR="00000000" w:rsidDel="00000000" w:rsidP="00000000" w:rsidRDefault="00000000" w:rsidRPr="00000000" w14:paraId="0000001F">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provision restricting the ability of the Key Subcontractor to sub-contract all or any part of the provision of the Deliverables provided to the Supplier under the Key Sub-Contract without first seeking the written consent of CCS and the Buyer. </w:t>
      </w:r>
    </w:p>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5">
    <w:pPr>
      <w:tabs>
        <w:tab w:val="center" w:pos="4513"/>
        <w:tab w:val="right" w:pos="9026"/>
      </w:tabs>
      <w:spacing w:after="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26">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28">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 v3.0</w:t>
      <w:tab/>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9">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RM6188                                           </w:t>
    </w:r>
  </w:p>
  <w:p w:rsidR="00000000" w:rsidDel="00000000" w:rsidP="00000000" w:rsidRDefault="00000000" w:rsidRPr="00000000" w14:paraId="0000002A">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B">
    <w:pPr>
      <w:spacing w:after="0" w:line="240" w:lineRule="auto"/>
      <w:jc w:val="both"/>
      <w:rPr>
        <w:rFonts w:ascii="Arial" w:cs="Arial" w:eastAsia="Arial" w:hAnsi="Arial"/>
        <w:color w:val="bfbfbf"/>
        <w:sz w:val="20"/>
        <w:szCs w:val="20"/>
      </w:rPr>
    </w:pPr>
    <w:bookmarkStart w:colFirst="0" w:colLast="0" w:name="_heading=h.tyjcwt" w:id="6"/>
    <w:bookmarkEnd w:id="6"/>
    <w:r w:rsidDel="00000000" w:rsidR="00000000" w:rsidRPr="00000000">
      <w:rPr>
        <w:rFonts w:ascii="Arial" w:cs="Arial" w:eastAsia="Arial" w:hAnsi="Arial"/>
        <w:sz w:val="20"/>
        <w:szCs w:val="20"/>
        <w:rtl w:val="0"/>
      </w:rPr>
      <w:t xml:space="preserve">Model Version: v3.1</w:t>
      <w:tab/>
      <w:tab/>
    </w:r>
    <w:r w:rsidDel="00000000" w:rsidR="00000000" w:rsidRPr="00000000">
      <w:rPr>
        <w:rFonts w:ascii="Arial" w:cs="Arial" w:eastAsia="Arial" w:hAnsi="Arial"/>
        <w:color w:val="bfbfbf"/>
        <w:sz w:val="20"/>
        <w:szCs w:val="20"/>
        <w:rtl w:val="0"/>
      </w:rPr>
      <w:tab/>
      <w:tab/>
    </w:r>
    <w:bookmarkStart w:colFirst="0" w:colLast="0" w:name="bookmark=id.3dy6vkm" w:id="5"/>
    <w:bookmarkEnd w:id="5"/>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Joint Schedule 6 (Key Subcontractors)</w:t>
    </w:r>
  </w:p>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w:t>
    </w:r>
    <w:r w:rsidDel="00000000" w:rsidR="00000000" w:rsidRPr="00000000">
      <w:rPr>
        <w:rFonts w:ascii="Arial" w:cs="Arial" w:eastAsia="Arial" w:hAnsi="Arial"/>
        <w:sz w:val="20"/>
        <w:szCs w:val="20"/>
        <w:rtl w:val="0"/>
      </w:rPr>
      <w:t xml:space="preserve">21</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9.9999999999999"/>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Guidance" w:customStyle="1">
    <w:name w:val="GPS L1 Guidance"/>
    <w:basedOn w:val="Normal"/>
    <w:link w:val="GPSL1GuidanceChar"/>
    <w:qFormat w:val="1"/>
    <w:pPr>
      <w:overflowPunct w:val="0"/>
      <w:autoSpaceDE w:val="0"/>
      <w:autoSpaceDN w:val="0"/>
      <w:adjustRightInd w:val="0"/>
      <w:spacing w:after="120" w:before="240" w:line="240" w:lineRule="auto"/>
      <w:ind w:left="426"/>
      <w:jc w:val="both"/>
      <w:textAlignment w:val="baseline"/>
    </w:pPr>
    <w:rPr>
      <w:rFonts w:ascii="Calibri" w:cs="Arial" w:eastAsia="Times New Roman" w:hAnsi="Calibri"/>
      <w:b w:val="1"/>
      <w:i w:val="1"/>
    </w:rPr>
  </w:style>
  <w:style w:type="paragraph" w:styleId="GPSL3Guidance" w:customStyle="1">
    <w:name w:val="GPS L3 Guidance"/>
    <w:basedOn w:val="Normal"/>
    <w:link w:val="GPSL3GuidanceChar"/>
    <w:qFormat w:val="1"/>
    <w:pPr>
      <w:tabs>
        <w:tab w:val="left" w:pos="1985"/>
      </w:tabs>
      <w:adjustRightInd w:val="0"/>
      <w:spacing w:after="120" w:before="120" w:line="240" w:lineRule="auto"/>
      <w:ind w:left="1985"/>
      <w:jc w:val="both"/>
    </w:pPr>
    <w:rPr>
      <w:rFonts w:ascii="Calibri" w:cs="Arial" w:eastAsia="Times New Roman" w:hAnsi="Calibri"/>
      <w:b w:val="1"/>
      <w:i w:val="1"/>
      <w:lang w:eastAsia="zh-CN"/>
    </w:rPr>
  </w:style>
  <w:style w:type="paragraph" w:styleId="GPSL1Schedulenumbered" w:customStyle="1">
    <w:name w:val="GPS L1 Schedule numbered"/>
    <w:basedOn w:val="Normal"/>
    <w:link w:val="GPSL1SchedulenumberedChar1"/>
    <w:qFormat w:val="1"/>
    <w:pPr>
      <w:numPr>
        <w:numId w:val="1"/>
      </w:numPr>
      <w:tabs>
        <w:tab w:val="left" w:pos="851"/>
      </w:tabs>
      <w:overflowPunct w:val="0"/>
      <w:autoSpaceDE w:val="0"/>
      <w:autoSpaceDN w:val="0"/>
      <w:adjustRightInd w:val="0"/>
      <w:spacing w:after="240" w:line="240" w:lineRule="auto"/>
      <w:jc w:val="both"/>
      <w:textAlignment w:val="baseline"/>
    </w:pPr>
    <w:rPr>
      <w:rFonts w:ascii="Calibri" w:cs="Arial" w:eastAsia="Times New Roman" w:hAnsi="Calibri"/>
    </w:rPr>
  </w:style>
  <w:style w:type="character" w:styleId="GPSL1SchedulenumberedChar1" w:customStyle="1">
    <w:name w:val="GPS L1 Schedule numbered Char1"/>
    <w:link w:val="GPSL1Schedulenumbered"/>
    <w:locked w:val="1"/>
    <w:rPr>
      <w:rFonts w:ascii="Calibri" w:cs="Arial" w:eastAsia="Times New Roman" w:hAnsi="Calibri"/>
    </w:rPr>
  </w:style>
  <w:style w:type="character" w:styleId="GPSL1GuidanceChar" w:customStyle="1">
    <w:name w:val="GPS L1 Guidance Char"/>
    <w:link w:val="GPSL1Guidance"/>
    <w:locked w:val="1"/>
    <w:rPr>
      <w:rFonts w:ascii="Calibri" w:cs="Arial" w:eastAsia="Times New Roman" w:hAnsi="Calibri"/>
      <w:b w:val="1"/>
      <w:i w:val="1"/>
    </w:rPr>
  </w:style>
  <w:style w:type="character" w:styleId="GPSL3GuidanceChar" w:customStyle="1">
    <w:name w:val="GPS L3 Guidance Char"/>
    <w:link w:val="GPSL3Guidance"/>
    <w:rPr>
      <w:rFonts w:ascii="Calibri" w:cs="Arial" w:eastAsia="Times New Roman" w:hAnsi="Calibri"/>
      <w:b w:val="1"/>
      <w:i w:val="1"/>
      <w:lang w:eastAsia="zh-CN"/>
    </w:rPr>
  </w:style>
  <w:style w:type="paragraph" w:styleId="GPSL1CLAUSEHEADING" w:customStyle="1">
    <w:name w:val="GPS L1 CLAUSE HEADING"/>
    <w:basedOn w:val="Normal"/>
    <w:next w:val="Normal"/>
    <w:qFormat w:val="1"/>
    <w:pPr>
      <w:numPr>
        <w:numId w:val="3"/>
      </w:numPr>
      <w:tabs>
        <w:tab w:val="left" w:pos="142"/>
      </w:tabs>
      <w:adjustRightInd w:val="0"/>
      <w:spacing w:after="240" w:before="120" w:line="240" w:lineRule="auto"/>
      <w:jc w:val="both"/>
      <w:outlineLvl w:val="1"/>
    </w:pPr>
    <w:rPr>
      <w:rFonts w:ascii="Calibri" w:cs="Arial" w:eastAsia="STZhongsong" w:hAnsi="Calibri"/>
      <w:b w:val="1"/>
      <w:caps w:val="1"/>
      <w:lang w:eastAsia="zh-CN"/>
    </w:rPr>
  </w:style>
  <w:style w:type="paragraph" w:styleId="GPSL3numberedclause" w:customStyle="1">
    <w:name w:val="GPS L3 numbered clause"/>
    <w:basedOn w:val="Normal"/>
    <w:link w:val="GPSL3numberedclauseChar"/>
    <w:qFormat w:val="1"/>
    <w:pPr>
      <w:numPr>
        <w:ilvl w:val="2"/>
        <w:numId w:val="3"/>
      </w:numPr>
      <w:tabs>
        <w:tab w:val="left" w:pos="1985"/>
      </w:tabs>
      <w:adjustRightInd w:val="0"/>
      <w:spacing w:after="120" w:before="120" w:line="240" w:lineRule="auto"/>
      <w:jc w:val="both"/>
    </w:pPr>
    <w:rPr>
      <w:rFonts w:ascii="Calibri" w:cs="Arial" w:eastAsia="Times New Roman" w:hAnsi="Calibri"/>
      <w:lang w:eastAsia="zh-CN"/>
    </w:rPr>
  </w:style>
  <w:style w:type="paragraph" w:styleId="GPSL4numberedclause" w:customStyle="1">
    <w:name w:val="GPS L4 numbered clause"/>
    <w:basedOn w:val="GPSL3numberedclause"/>
    <w:link w:val="GPSL4numberedclauseChar"/>
    <w:qFormat w:val="1"/>
    <w:pPr>
      <w:numPr>
        <w:ilvl w:val="3"/>
      </w:numPr>
      <w:tabs>
        <w:tab w:val="left" w:pos="2552"/>
      </w:tabs>
    </w:p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5numberedclause" w:customStyle="1">
    <w:name w:val="GPS L5 numbered clause"/>
    <w:basedOn w:val="GPSL4numberedclause"/>
    <w:link w:val="GPSL5numberedclauseChar"/>
    <w:qFormat w:val="1"/>
    <w:pPr>
      <w:numPr>
        <w:ilvl w:val="4"/>
      </w:numPr>
      <w:tabs>
        <w:tab w:val="left" w:pos="3119"/>
      </w:tabs>
    </w:pPr>
  </w:style>
  <w:style w:type="paragraph" w:styleId="GPSL2NumberedBoldHeading" w:customStyle="1">
    <w:name w:val="GPS L2 Numbered Bold Heading"/>
    <w:basedOn w:val="Normal"/>
    <w:link w:val="GPSL2NumberedBoldHeadingChar"/>
    <w:qFormat w:val="1"/>
    <w:pPr>
      <w:numPr>
        <w:ilvl w:val="1"/>
        <w:numId w:val="3"/>
      </w:numPr>
      <w:adjustRightInd w:val="0"/>
      <w:spacing w:after="120" w:before="120" w:line="240" w:lineRule="auto"/>
      <w:ind w:left="936" w:hanging="576"/>
      <w:jc w:val="both"/>
    </w:pPr>
    <w:rPr>
      <w:rFonts w:ascii="Calibri" w:cs="Arial" w:eastAsia="Times New Roman" w:hAnsi="Calibri"/>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character" w:styleId="legds2" w:customStyle="1">
    <w:name w:val="legds2"/>
  </w:style>
  <w:style w:type="table" w:styleId="TableGrid">
    <w:name w:val="Table Grid"/>
    <w:basedOn w:val="TableNormal"/>
    <w:uiPriority w:val="59"/>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paragraph" w:styleId="GPSL2numberedclause" w:customStyle="1">
    <w:name w:val="GPS L2 numbered clause"/>
    <w:basedOn w:val="Normal"/>
    <w:qFormat w:val="1"/>
    <w:pPr>
      <w:tabs>
        <w:tab w:val="left" w:pos="1134"/>
      </w:tabs>
      <w:adjustRightInd w:val="0"/>
      <w:spacing w:after="120" w:before="120" w:line="240" w:lineRule="auto"/>
      <w:ind w:left="1134" w:hanging="567"/>
      <w:jc w:val="both"/>
    </w:pPr>
    <w:rPr>
      <w:rFonts w:ascii="Calibri" w:cs="Arial" w:eastAsia="Times New Roman" w:hAnsi="Calibri"/>
      <w:lang w:eastAsia="zh-CN"/>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table" w:styleId="TableGrid1" w:customStyle="1">
    <w:name w:val="Table Grid1"/>
    <w:basedOn w:val="TableNormal"/>
    <w:next w:val="TableGrid"/>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vV2I7LO+YNXsLcBRDvsj/8P97jA==">AMUW2mVspKizn+7g4zQbdrhq0pNeGMF8bZKsFkh3l4ZUTovBBpB5mN+Ou0h03KVZbfa5Djbzd5sLL2RyuhykZNcQVBc41mwfMn61UXL9fZmflPwFXrFj+5oSMJ/NW8taxxx+1qrcM5GqXHIV17FD0nmSx14A67/Y2fmzWgTLRNv416xK8cu57rOjx8qu5EqKxA9uLPniwrusR4xVrOm+7ZpmFtv9hvnwBA==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2019-06-25T22:28:00Z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